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E546" w14:textId="77777777" w:rsidR="00470FCC" w:rsidRDefault="00470FCC" w:rsidP="00470FCC">
      <w:pPr>
        <w:pStyle w:val="Body"/>
        <w:spacing w:line="240" w:lineRule="auto"/>
        <w:rPr>
          <w:rFonts w:ascii="Georgia" w:eastAsia="Georgia" w:hAnsi="Georgia" w:cs="Georgia"/>
          <w:color w:val="1F336B"/>
          <w:sz w:val="28"/>
          <w:szCs w:val="28"/>
        </w:rPr>
      </w:pPr>
      <w:r>
        <w:rPr>
          <w:rFonts w:ascii="Georgia" w:eastAsia="Georgia" w:hAnsi="Georgia" w:cs="Georgia"/>
          <w:b/>
          <w:bCs/>
          <w:color w:val="1F336B"/>
          <w:sz w:val="28"/>
          <w:szCs w:val="28"/>
        </w:rPr>
        <w:t>SAMPLE NEWS RELEASE</w:t>
      </w:r>
    </w:p>
    <w:p w14:paraId="3E24C88D" w14:textId="0C2A31B5" w:rsidR="00470FCC" w:rsidRDefault="00470FCC" w:rsidP="00470FCC">
      <w:pPr>
        <w:pStyle w:val="NoSpacing"/>
        <w:rPr>
          <w:rFonts w:ascii="Georgia" w:eastAsia="Georgia" w:hAnsi="Georgia" w:cs="Georgia"/>
          <w:color w:val="EF5125"/>
          <w:sz w:val="22"/>
          <w:szCs w:val="22"/>
        </w:rPr>
      </w:pPr>
      <w:r>
        <w:rPr>
          <w:rFonts w:ascii="Georgia" w:eastAsia="Georgia" w:hAnsi="Georgia" w:cs="Georgia"/>
          <w:b/>
          <w:bCs/>
          <w:color w:val="EF5125"/>
          <w:sz w:val="22"/>
          <w:szCs w:val="22"/>
        </w:rPr>
        <w:t xml:space="preserve">Template for </w:t>
      </w:r>
      <w:r w:rsidR="00CF5E0F">
        <w:rPr>
          <w:rFonts w:ascii="Georgia" w:eastAsia="Georgia" w:hAnsi="Georgia" w:cs="Georgia"/>
          <w:b/>
          <w:bCs/>
          <w:color w:val="EF5125"/>
          <w:sz w:val="22"/>
          <w:szCs w:val="22"/>
        </w:rPr>
        <w:t>Excellent Health Outcomes for All</w:t>
      </w:r>
      <w:r>
        <w:rPr>
          <w:rFonts w:ascii="Georgia" w:eastAsia="Georgia" w:hAnsi="Georgia" w:cs="Georgia"/>
          <w:b/>
          <w:bCs/>
          <w:color w:val="EF5125"/>
          <w:sz w:val="22"/>
          <w:szCs w:val="22"/>
        </w:rPr>
        <w:t xml:space="preserve"> Certification</w:t>
      </w:r>
      <w:r>
        <w:rPr>
          <w:noProof/>
        </w:rPr>
        <w:drawing>
          <wp:inline distT="0" distB="0" distL="0" distR="0" wp14:anchorId="2E4E5022" wp14:editId="71E1B637">
            <wp:extent cx="3380105" cy="30480"/>
            <wp:effectExtent l="0" t="0" r="0" b="7620"/>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830053"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0105" cy="30480"/>
                    </a:xfrm>
                    <a:prstGeom prst="rect">
                      <a:avLst/>
                    </a:prstGeom>
                    <a:noFill/>
                    <a:ln>
                      <a:noFill/>
                    </a:ln>
                  </pic:spPr>
                </pic:pic>
              </a:graphicData>
            </a:graphic>
          </wp:inline>
        </w:drawing>
      </w:r>
    </w:p>
    <w:p w14:paraId="242EA05E" w14:textId="77777777" w:rsidR="00470FCC" w:rsidRDefault="00470FCC" w:rsidP="00470FCC">
      <w:pPr>
        <w:spacing w:line="240" w:lineRule="auto"/>
      </w:pPr>
    </w:p>
    <w:p w14:paraId="2BCAF324" w14:textId="2C75D8FE" w:rsidR="00470FCC" w:rsidRDefault="00470FCC" w:rsidP="00470FCC">
      <w:pPr>
        <w:rPr>
          <w:rFonts w:ascii="Georgia" w:eastAsia="Georgia" w:hAnsi="Georgia" w:cs="Georgia"/>
          <w:sz w:val="22"/>
          <w:szCs w:val="22"/>
        </w:rPr>
      </w:pPr>
      <w:r>
        <w:t>(</w:t>
      </w:r>
      <w:r>
        <w:rPr>
          <w:rFonts w:ascii="Georgia" w:eastAsia="Georgia" w:hAnsi="Georgia" w:cs="Georgia"/>
          <w:sz w:val="22"/>
          <w:szCs w:val="22"/>
          <w:highlight w:val="yellow"/>
        </w:rPr>
        <w:t>Insert media contact information</w:t>
      </w:r>
      <w:r>
        <w:rPr>
          <w:rFonts w:ascii="Georgia" w:eastAsia="Georgia" w:hAnsi="Georgia" w:cs="Georgia"/>
          <w:sz w:val="22"/>
          <w:szCs w:val="22"/>
        </w:rPr>
        <w:t>)</w:t>
      </w:r>
    </w:p>
    <w:p w14:paraId="23DE8060" w14:textId="77777777" w:rsidR="00470FCC" w:rsidRDefault="00470FCC" w:rsidP="00470FCC">
      <w:pPr>
        <w:rPr>
          <w:rFonts w:ascii="Georgia" w:eastAsia="Georgia" w:hAnsi="Georgia" w:cs="Georgia"/>
          <w:b/>
          <w:bCs/>
          <w:sz w:val="22"/>
          <w:szCs w:val="22"/>
          <w:highlight w:val="yellow"/>
        </w:rPr>
      </w:pPr>
    </w:p>
    <w:p w14:paraId="69649579" w14:textId="33022181" w:rsidR="00470FCC" w:rsidRPr="00CF5E0F" w:rsidRDefault="00470FCC" w:rsidP="00CF5E0F">
      <w:pPr>
        <w:pStyle w:val="NoSpacing"/>
        <w:jc w:val="center"/>
        <w:rPr>
          <w:rFonts w:ascii="Georgia" w:eastAsia="Georgia" w:hAnsi="Georgia" w:cs="Georgia"/>
          <w:b/>
          <w:bCs/>
          <w:color w:val="000000" w:themeColor="text1"/>
          <w:sz w:val="27"/>
          <w:szCs w:val="27"/>
        </w:rPr>
      </w:pPr>
      <w:r>
        <w:rPr>
          <w:rFonts w:ascii="Georgia" w:eastAsia="Georgia" w:hAnsi="Georgia" w:cs="Georgia"/>
          <w:b/>
          <w:bCs/>
          <w:color w:val="000000" w:themeColor="text1"/>
          <w:sz w:val="27"/>
          <w:szCs w:val="27"/>
        </w:rPr>
        <w:t>(</w:t>
      </w:r>
      <w:r>
        <w:rPr>
          <w:rFonts w:ascii="Georgia" w:eastAsia="Georgia" w:hAnsi="Georgia" w:cs="Georgia"/>
          <w:b/>
          <w:bCs/>
          <w:color w:val="000000" w:themeColor="text1"/>
          <w:sz w:val="27"/>
          <w:szCs w:val="27"/>
          <w:highlight w:val="yellow"/>
        </w:rPr>
        <w:t>Organization name</w:t>
      </w:r>
      <w:r>
        <w:rPr>
          <w:rFonts w:ascii="Georgia" w:eastAsia="Georgia" w:hAnsi="Georgia" w:cs="Georgia"/>
          <w:b/>
          <w:bCs/>
          <w:color w:val="000000" w:themeColor="text1"/>
          <w:sz w:val="27"/>
          <w:szCs w:val="27"/>
        </w:rPr>
        <w:t xml:space="preserve">) awarded </w:t>
      </w:r>
      <w:r w:rsidR="00CF5E0F">
        <w:rPr>
          <w:rFonts w:ascii="Georgia" w:eastAsia="Georgia" w:hAnsi="Georgia" w:cs="Georgia"/>
          <w:b/>
          <w:bCs/>
          <w:color w:val="000000" w:themeColor="text1"/>
          <w:sz w:val="27"/>
          <w:szCs w:val="27"/>
        </w:rPr>
        <w:t>Excellent Health Outcomes for All</w:t>
      </w:r>
      <w:r>
        <w:rPr>
          <w:rFonts w:ascii="Georgia" w:eastAsia="Georgia" w:hAnsi="Georgia" w:cs="Georgia"/>
          <w:b/>
          <w:bCs/>
          <w:color w:val="000000" w:themeColor="text1"/>
          <w:sz w:val="27"/>
          <w:szCs w:val="27"/>
        </w:rPr>
        <w:t xml:space="preserve"> Certification</w:t>
      </w:r>
      <w:r w:rsidR="00CF5E0F">
        <w:rPr>
          <w:rFonts w:ascii="Georgia" w:eastAsia="Georgia" w:hAnsi="Georgia" w:cs="Georgia"/>
          <w:b/>
          <w:bCs/>
          <w:color w:val="000000" w:themeColor="text1"/>
          <w:sz w:val="27"/>
          <w:szCs w:val="27"/>
        </w:rPr>
        <w:t xml:space="preserve"> </w:t>
      </w:r>
      <w:r>
        <w:rPr>
          <w:rFonts w:ascii="Georgia" w:eastAsia="Georgia" w:hAnsi="Georgia" w:cs="Georgia"/>
          <w:b/>
          <w:bCs/>
          <w:color w:val="000000" w:themeColor="text1"/>
          <w:sz w:val="27"/>
          <w:szCs w:val="27"/>
        </w:rPr>
        <w:t>from The Joint Commission</w:t>
      </w:r>
    </w:p>
    <w:p w14:paraId="52C7422F" w14:textId="77777777" w:rsidR="00470FCC" w:rsidRDefault="00470FCC" w:rsidP="00470FCC">
      <w:pPr>
        <w:rPr>
          <w:rFonts w:ascii="Georgia" w:eastAsia="Georgia" w:hAnsi="Georgia" w:cs="Georgia"/>
          <w:color w:val="000000" w:themeColor="text1"/>
          <w:sz w:val="22"/>
          <w:szCs w:val="22"/>
        </w:rPr>
      </w:pPr>
    </w:p>
    <w:p w14:paraId="4142EF3F" w14:textId="50F43304"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color w:val="000000" w:themeColor="text1"/>
          <w:sz w:val="22"/>
          <w:szCs w:val="22"/>
        </w:rPr>
        <w:t>(</w:t>
      </w:r>
      <w:r>
        <w:rPr>
          <w:rFonts w:ascii="Georgia" w:eastAsia="Georgia" w:hAnsi="Georgia" w:cs="Georgia"/>
          <w:color w:val="000000" w:themeColor="text1"/>
          <w:sz w:val="22"/>
          <w:szCs w:val="22"/>
          <w:highlight w:val="yellow"/>
        </w:rPr>
        <w:t>CITY, State, Date</w:t>
      </w:r>
      <w:r>
        <w:rPr>
          <w:rFonts w:ascii="Georgia" w:eastAsia="Georgia" w:hAnsi="Georgia" w:cs="Georgia"/>
          <w:color w:val="000000" w:themeColor="text1"/>
          <w:sz w:val="22"/>
          <w:szCs w:val="22"/>
        </w:rPr>
        <w:t>) – (</w:t>
      </w:r>
      <w:r>
        <w:rPr>
          <w:rFonts w:ascii="Georgia" w:eastAsia="Georgia" w:hAnsi="Georgia" w:cs="Georgia"/>
          <w:color w:val="000000" w:themeColor="text1"/>
          <w:sz w:val="22"/>
          <w:szCs w:val="22"/>
          <w:highlight w:val="yellow"/>
        </w:rPr>
        <w:t>Organization name</w:t>
      </w:r>
      <w:r>
        <w:rPr>
          <w:rFonts w:ascii="Georgia" w:eastAsia="Georgia" w:hAnsi="Georgia" w:cs="Georgia"/>
          <w:color w:val="000000" w:themeColor="text1"/>
          <w:sz w:val="22"/>
          <w:szCs w:val="22"/>
        </w:rPr>
        <w:t xml:space="preserve">) has earned The Joint Commission’s </w:t>
      </w:r>
      <w:r w:rsidR="00CF5E0F">
        <w:rPr>
          <w:rFonts w:ascii="Georgia" w:eastAsia="Georgia" w:hAnsi="Georgia" w:cs="Georgia"/>
          <w:color w:val="000000" w:themeColor="text1"/>
          <w:sz w:val="22"/>
          <w:szCs w:val="22"/>
        </w:rPr>
        <w:t xml:space="preserve">Excellent Health Outcomes for All </w:t>
      </w:r>
      <w:r>
        <w:rPr>
          <w:rFonts w:ascii="Georgia" w:eastAsia="Georgia" w:hAnsi="Georgia" w:cs="Georgia"/>
          <w:color w:val="000000" w:themeColor="text1"/>
          <w:sz w:val="22"/>
          <w:szCs w:val="22"/>
        </w:rPr>
        <w:t>Certification for excellence in its efforts to provide equitable care, treatment and services. (</w:t>
      </w:r>
      <w:r>
        <w:rPr>
          <w:rFonts w:ascii="Georgia" w:eastAsia="Georgia" w:hAnsi="Georgia" w:cs="Georgia"/>
          <w:color w:val="000000" w:themeColor="text1"/>
          <w:sz w:val="22"/>
          <w:szCs w:val="22"/>
          <w:highlight w:val="yellow"/>
        </w:rPr>
        <w:t>Organization name</w:t>
      </w:r>
      <w:r>
        <w:rPr>
          <w:rFonts w:ascii="Georgia" w:eastAsia="Georgia" w:hAnsi="Georgia" w:cs="Georgia"/>
          <w:color w:val="000000" w:themeColor="text1"/>
          <w:sz w:val="22"/>
          <w:szCs w:val="22"/>
        </w:rPr>
        <w:t>) has demonstrated that it has established structures and processes in place to decrease health care disparities within its patient populations and to promote diversity, equity and inclusion for staff.</w:t>
      </w:r>
    </w:p>
    <w:p w14:paraId="3FE12C7D" w14:textId="77777777" w:rsidR="00470FCC" w:rsidRDefault="00470FCC" w:rsidP="00470FCC">
      <w:pPr>
        <w:pStyle w:val="NoSpacing"/>
        <w:rPr>
          <w:rFonts w:ascii="Georgia" w:eastAsia="Georgia" w:hAnsi="Georgia" w:cs="Georgia"/>
          <w:sz w:val="22"/>
          <w:szCs w:val="22"/>
        </w:rPr>
      </w:pPr>
    </w:p>
    <w:p w14:paraId="36D3D82E" w14:textId="654A7761"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sz w:val="22"/>
          <w:szCs w:val="22"/>
          <w:highlight w:val="yellow"/>
        </w:rPr>
        <w:t>(Organization name)</w:t>
      </w:r>
      <w:r>
        <w:rPr>
          <w:rFonts w:ascii="Georgia" w:eastAsia="Georgia" w:hAnsi="Georgia" w:cs="Georgia"/>
          <w:sz w:val="22"/>
          <w:szCs w:val="22"/>
        </w:rPr>
        <w:t xml:space="preserve"> </w:t>
      </w:r>
      <w:r>
        <w:rPr>
          <w:rFonts w:ascii="Georgia" w:eastAsia="Georgia" w:hAnsi="Georgia" w:cs="Georgia"/>
          <w:color w:val="000000" w:themeColor="text1"/>
          <w:sz w:val="22"/>
          <w:szCs w:val="22"/>
        </w:rPr>
        <w:t>underwent a rigorous onsite review on (</w:t>
      </w:r>
      <w:r>
        <w:rPr>
          <w:rFonts w:ascii="Georgia" w:eastAsia="Georgia" w:hAnsi="Georgia" w:cs="Georgia"/>
          <w:color w:val="000000" w:themeColor="text1"/>
          <w:sz w:val="22"/>
          <w:szCs w:val="22"/>
          <w:highlight w:val="yellow"/>
        </w:rPr>
        <w:t>date</w:t>
      </w:r>
      <w:r>
        <w:rPr>
          <w:rFonts w:ascii="Georgia" w:eastAsia="Georgia" w:hAnsi="Georgia" w:cs="Georgia"/>
          <w:color w:val="000000" w:themeColor="text1"/>
          <w:sz w:val="22"/>
          <w:szCs w:val="22"/>
        </w:rPr>
        <w:t>). During the visit, a team of Joint Commission reviewers evaluated compliance with certification standards under the following domains:</w:t>
      </w:r>
    </w:p>
    <w:p w14:paraId="7819253D" w14:textId="77777777" w:rsidR="00470FCC" w:rsidRDefault="00470FCC" w:rsidP="00470FCC">
      <w:pPr>
        <w:pStyle w:val="NoSpacing"/>
        <w:rPr>
          <w:rFonts w:ascii="Georgia" w:eastAsia="Georgia" w:hAnsi="Georgia" w:cs="Georgia"/>
          <w:color w:val="000000" w:themeColor="text1"/>
          <w:sz w:val="22"/>
          <w:szCs w:val="22"/>
        </w:rPr>
      </w:pPr>
    </w:p>
    <w:p w14:paraId="77B68EC4" w14:textId="77777777" w:rsidR="00470FCC" w:rsidRDefault="00470FCC" w:rsidP="00470FCC">
      <w:pPr>
        <w:pStyle w:val="NoSpacing"/>
        <w:numPr>
          <w:ilvl w:val="0"/>
          <w:numId w:val="1"/>
        </w:numPr>
        <w:rPr>
          <w:rFonts w:ascii="Georgia" w:eastAsia="Georgia" w:hAnsi="Georgia" w:cs="Georgia"/>
          <w:color w:val="000000" w:themeColor="text1"/>
          <w:sz w:val="22"/>
          <w:szCs w:val="22"/>
        </w:rPr>
      </w:pPr>
      <w:r>
        <w:rPr>
          <w:rFonts w:ascii="Georgia" w:eastAsia="Georgia" w:hAnsi="Georgia" w:cs="Georgia"/>
          <w:color w:val="000000" w:themeColor="text1"/>
          <w:sz w:val="22"/>
          <w:szCs w:val="22"/>
        </w:rPr>
        <w:t>Leadership</w:t>
      </w:r>
    </w:p>
    <w:p w14:paraId="318FEDEA" w14:textId="77777777" w:rsidR="00470FCC" w:rsidRDefault="00470FCC" w:rsidP="00470FCC">
      <w:pPr>
        <w:pStyle w:val="NoSpacing"/>
        <w:numPr>
          <w:ilvl w:val="0"/>
          <w:numId w:val="1"/>
        </w:numPr>
        <w:rPr>
          <w:rFonts w:ascii="Georgia" w:eastAsia="Georgia" w:hAnsi="Georgia" w:cs="Georgia"/>
          <w:color w:val="000000" w:themeColor="text1"/>
          <w:sz w:val="22"/>
          <w:szCs w:val="22"/>
        </w:rPr>
      </w:pPr>
      <w:r>
        <w:rPr>
          <w:rFonts w:ascii="Georgia" w:eastAsia="Georgia" w:hAnsi="Georgia" w:cs="Georgia"/>
          <w:color w:val="000000" w:themeColor="text1"/>
          <w:sz w:val="22"/>
          <w:szCs w:val="22"/>
        </w:rPr>
        <w:t>Collaboration</w:t>
      </w:r>
    </w:p>
    <w:p w14:paraId="79A6F575" w14:textId="77777777" w:rsidR="00470FCC" w:rsidRDefault="00470FCC" w:rsidP="00470FCC">
      <w:pPr>
        <w:pStyle w:val="NoSpacing"/>
        <w:numPr>
          <w:ilvl w:val="0"/>
          <w:numId w:val="1"/>
        </w:numPr>
        <w:rPr>
          <w:rFonts w:ascii="Georgia" w:eastAsia="Georgia" w:hAnsi="Georgia" w:cs="Georgia"/>
          <w:color w:val="000000" w:themeColor="text1"/>
          <w:sz w:val="22"/>
          <w:szCs w:val="22"/>
        </w:rPr>
      </w:pPr>
      <w:r>
        <w:rPr>
          <w:rFonts w:ascii="Georgia" w:eastAsia="Georgia" w:hAnsi="Georgia" w:cs="Georgia"/>
          <w:color w:val="000000" w:themeColor="text1"/>
          <w:sz w:val="22"/>
          <w:szCs w:val="22"/>
        </w:rPr>
        <w:t>Data collection</w:t>
      </w:r>
    </w:p>
    <w:p w14:paraId="15238656" w14:textId="77777777" w:rsidR="00470FCC" w:rsidRDefault="00470FCC" w:rsidP="00470FCC">
      <w:pPr>
        <w:pStyle w:val="NoSpacing"/>
        <w:numPr>
          <w:ilvl w:val="0"/>
          <w:numId w:val="1"/>
        </w:numPr>
        <w:rPr>
          <w:rFonts w:ascii="Georgia" w:eastAsia="Georgia" w:hAnsi="Georgia" w:cs="Georgia"/>
          <w:color w:val="000000" w:themeColor="text1"/>
          <w:sz w:val="22"/>
          <w:szCs w:val="22"/>
        </w:rPr>
      </w:pPr>
      <w:r>
        <w:rPr>
          <w:rFonts w:ascii="Georgia" w:eastAsia="Georgia" w:hAnsi="Georgia" w:cs="Georgia"/>
          <w:color w:val="000000" w:themeColor="text1"/>
          <w:sz w:val="22"/>
          <w:szCs w:val="22"/>
        </w:rPr>
        <w:t xml:space="preserve">Provision of care </w:t>
      </w:r>
    </w:p>
    <w:p w14:paraId="0EE55C66" w14:textId="77777777" w:rsidR="00470FCC" w:rsidRDefault="00470FCC" w:rsidP="00470FCC">
      <w:pPr>
        <w:pStyle w:val="NoSpacing"/>
        <w:numPr>
          <w:ilvl w:val="0"/>
          <w:numId w:val="1"/>
        </w:numPr>
        <w:rPr>
          <w:rFonts w:ascii="Georgia" w:eastAsia="Georgia" w:hAnsi="Georgia" w:cs="Georgia"/>
          <w:color w:val="000000" w:themeColor="text1"/>
          <w:sz w:val="22"/>
          <w:szCs w:val="22"/>
        </w:rPr>
      </w:pPr>
      <w:r>
        <w:rPr>
          <w:rFonts w:ascii="Georgia" w:eastAsia="Georgia" w:hAnsi="Georgia" w:cs="Georgia"/>
          <w:color w:val="000000" w:themeColor="text1"/>
          <w:sz w:val="22"/>
          <w:szCs w:val="22"/>
        </w:rPr>
        <w:t xml:space="preserve">Performance improvement </w:t>
      </w:r>
    </w:p>
    <w:p w14:paraId="10166FA7" w14:textId="77777777" w:rsidR="00470FCC" w:rsidRDefault="00470FCC" w:rsidP="00470FCC">
      <w:pPr>
        <w:pStyle w:val="NoSpacing"/>
        <w:rPr>
          <w:rFonts w:ascii="Georgia" w:eastAsia="Georgia" w:hAnsi="Georgia" w:cs="Georgia"/>
          <w:sz w:val="22"/>
          <w:szCs w:val="22"/>
        </w:rPr>
      </w:pPr>
    </w:p>
    <w:p w14:paraId="47C60ECB" w14:textId="0808EB1B"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sz w:val="22"/>
          <w:szCs w:val="22"/>
        </w:rPr>
        <w:t>“</w:t>
      </w:r>
      <w:r w:rsidR="00CF5E0F">
        <w:rPr>
          <w:rFonts w:ascii="Georgia" w:eastAsia="Georgia" w:hAnsi="Georgia" w:cs="Georgia"/>
          <w:sz w:val="22"/>
          <w:szCs w:val="22"/>
        </w:rPr>
        <w:t>Excellent Health Outcomes for All</w:t>
      </w:r>
      <w:r>
        <w:rPr>
          <w:rFonts w:ascii="Georgia" w:eastAsia="Georgia" w:hAnsi="Georgia" w:cs="Georgia"/>
          <w:sz w:val="22"/>
          <w:szCs w:val="22"/>
        </w:rPr>
        <w:t xml:space="preserve"> Certification </w:t>
      </w:r>
      <w:r>
        <w:rPr>
          <w:rFonts w:ascii="Georgia" w:eastAsia="Georgia" w:hAnsi="Georgia" w:cs="Georgia"/>
          <w:color w:val="000000" w:themeColor="text1"/>
          <w:sz w:val="22"/>
          <w:szCs w:val="22"/>
        </w:rPr>
        <w:t>distinguishes those organizations that have made health care equity a strategic priority and those that collaborate with patients, families, caregivers and external organizations to help translate equitable health care into better health outcomes,” says Ken Grubbs, DNP, MBA, RN, executive vice president of Accreditation and Certification Operations and chief nursing officer, The Joint Commission. “We commend (</w:t>
      </w:r>
      <w:r>
        <w:rPr>
          <w:rFonts w:ascii="Georgia" w:eastAsia="Georgia" w:hAnsi="Georgia" w:cs="Georgia"/>
          <w:color w:val="000000" w:themeColor="text1"/>
          <w:sz w:val="22"/>
          <w:szCs w:val="22"/>
          <w:highlight w:val="yellow"/>
        </w:rPr>
        <w:t>organization name</w:t>
      </w:r>
      <w:r>
        <w:rPr>
          <w:rFonts w:ascii="Georgia" w:eastAsia="Georgia" w:hAnsi="Georgia" w:cs="Georgia"/>
          <w:color w:val="000000" w:themeColor="text1"/>
          <w:sz w:val="22"/>
          <w:szCs w:val="22"/>
        </w:rPr>
        <w:t>) for using The Joint Commission’s certification process to promote that all its patient populations receive access to equitable care, treatment and services.”</w:t>
      </w:r>
    </w:p>
    <w:p w14:paraId="14325345" w14:textId="77777777" w:rsidR="00470FCC" w:rsidRDefault="00470FCC" w:rsidP="00470FCC">
      <w:pPr>
        <w:pStyle w:val="NoSpacing"/>
        <w:rPr>
          <w:rFonts w:ascii="Georgia" w:eastAsia="Georgia" w:hAnsi="Georgia" w:cs="Georgia"/>
          <w:color w:val="000000" w:themeColor="text1"/>
          <w:sz w:val="22"/>
          <w:szCs w:val="22"/>
        </w:rPr>
      </w:pPr>
    </w:p>
    <w:p w14:paraId="515E49C8" w14:textId="77777777"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color w:val="000000" w:themeColor="text1"/>
          <w:sz w:val="22"/>
          <w:szCs w:val="22"/>
        </w:rPr>
        <w:t>(</w:t>
      </w:r>
      <w:r>
        <w:rPr>
          <w:rFonts w:ascii="Georgia" w:eastAsia="Georgia" w:hAnsi="Georgia" w:cs="Georgia"/>
          <w:color w:val="000000" w:themeColor="text1"/>
          <w:sz w:val="22"/>
          <w:szCs w:val="22"/>
          <w:highlight w:val="yellow"/>
        </w:rPr>
        <w:t>Insert quote from organization leader</w:t>
      </w:r>
      <w:r>
        <w:rPr>
          <w:rFonts w:ascii="Georgia" w:eastAsia="Georgia" w:hAnsi="Georgia" w:cs="Georgia"/>
          <w:color w:val="000000" w:themeColor="text1"/>
          <w:sz w:val="22"/>
          <w:szCs w:val="22"/>
        </w:rPr>
        <w:t>)</w:t>
      </w:r>
    </w:p>
    <w:p w14:paraId="29416F06" w14:textId="77777777" w:rsidR="00470FCC" w:rsidRDefault="00470FCC" w:rsidP="00470FCC">
      <w:pPr>
        <w:spacing w:after="0" w:line="240" w:lineRule="auto"/>
        <w:rPr>
          <w:rFonts w:ascii="Georgia" w:eastAsia="Georgia" w:hAnsi="Georgia" w:cs="Georgia"/>
          <w:color w:val="000000" w:themeColor="text1"/>
          <w:sz w:val="22"/>
          <w:szCs w:val="22"/>
        </w:rPr>
      </w:pPr>
    </w:p>
    <w:p w14:paraId="4E4D0C33" w14:textId="77777777"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color w:val="000000" w:themeColor="text1"/>
          <w:sz w:val="22"/>
          <w:szCs w:val="22"/>
        </w:rPr>
        <w:t>(</w:t>
      </w:r>
      <w:r>
        <w:rPr>
          <w:rFonts w:ascii="Georgia" w:eastAsia="Georgia" w:hAnsi="Georgia" w:cs="Georgia"/>
          <w:color w:val="000000" w:themeColor="text1"/>
          <w:sz w:val="22"/>
          <w:szCs w:val="22"/>
          <w:highlight w:val="yellow"/>
        </w:rPr>
        <w:t>Insert specific examples of how organization prepared for certification process and/or specific certification’s eligibility requirements</w:t>
      </w:r>
      <w:r>
        <w:rPr>
          <w:rFonts w:ascii="Georgia" w:eastAsia="Georgia" w:hAnsi="Georgia" w:cs="Georgia"/>
          <w:color w:val="000000" w:themeColor="text1"/>
          <w:sz w:val="22"/>
          <w:szCs w:val="22"/>
        </w:rPr>
        <w:t>)</w:t>
      </w:r>
    </w:p>
    <w:p w14:paraId="7CD9E441" w14:textId="77777777" w:rsidR="00470FCC" w:rsidRDefault="00470FCC" w:rsidP="00470FCC">
      <w:pPr>
        <w:spacing w:after="0" w:line="240" w:lineRule="auto"/>
        <w:rPr>
          <w:rFonts w:ascii="Georgia" w:eastAsia="Georgia" w:hAnsi="Georgia" w:cs="Georgia"/>
          <w:color w:val="000000" w:themeColor="text1"/>
          <w:sz w:val="22"/>
          <w:szCs w:val="22"/>
        </w:rPr>
      </w:pPr>
    </w:p>
    <w:p w14:paraId="4E1688C0" w14:textId="4165E30D" w:rsidR="00470FCC" w:rsidRDefault="00470FCC" w:rsidP="00470FCC">
      <w:pPr>
        <w:pStyle w:val="NoSpacing"/>
        <w:rPr>
          <w:rFonts w:ascii="Georgia" w:hAnsi="Georgia"/>
          <w:sz w:val="22"/>
          <w:szCs w:val="22"/>
        </w:rPr>
      </w:pPr>
      <w:r>
        <w:rPr>
          <w:rFonts w:ascii="Georgia" w:hAnsi="Georgia"/>
          <w:sz w:val="22"/>
          <w:szCs w:val="22"/>
        </w:rPr>
        <w:t xml:space="preserve">To help health care organizations achieve </w:t>
      </w:r>
      <w:r w:rsidR="00CF5E0F">
        <w:rPr>
          <w:rFonts w:ascii="Georgia" w:hAnsi="Georgia"/>
          <w:sz w:val="22"/>
          <w:szCs w:val="22"/>
        </w:rPr>
        <w:t>Excellent Health Outcomes for All</w:t>
      </w:r>
      <w:r>
        <w:rPr>
          <w:rFonts w:ascii="Georgia" w:hAnsi="Georgia"/>
          <w:sz w:val="22"/>
          <w:szCs w:val="22"/>
        </w:rPr>
        <w:t xml:space="preserve"> Certification, The Joint Commission developed a </w:t>
      </w:r>
      <w:hyperlink r:id="rId9" w:history="1">
        <w:r w:rsidR="00CF5E0F">
          <w:rPr>
            <w:rStyle w:val="Hyperlink"/>
            <w:rFonts w:ascii="Georgia" w:hAnsi="Georgia"/>
            <w:sz w:val="22"/>
            <w:szCs w:val="22"/>
          </w:rPr>
          <w:t>Excellent Health Outcomes for All Certification Resource Center</w:t>
        </w:r>
      </w:hyperlink>
      <w:r>
        <w:rPr>
          <w:rFonts w:ascii="Georgia" w:hAnsi="Georgia"/>
          <w:sz w:val="22"/>
          <w:szCs w:val="22"/>
        </w:rPr>
        <w:t xml:space="preserve">. The resource center provides practical strategies, toolkits, templates, brief synopses and videos. </w:t>
      </w:r>
    </w:p>
    <w:p w14:paraId="51890065" w14:textId="77777777" w:rsidR="00470FCC" w:rsidRDefault="00470FCC" w:rsidP="00470FCC">
      <w:pPr>
        <w:pStyle w:val="NoSpacing"/>
        <w:rPr>
          <w:rFonts w:ascii="Georgia" w:eastAsia="Georgia" w:hAnsi="Georgia" w:cs="Georgia"/>
          <w:color w:val="000000" w:themeColor="text1"/>
          <w:sz w:val="22"/>
          <w:szCs w:val="22"/>
        </w:rPr>
      </w:pPr>
    </w:p>
    <w:p w14:paraId="0FE109F2" w14:textId="77777777"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color w:val="000000" w:themeColor="text1"/>
          <w:sz w:val="22"/>
          <w:szCs w:val="22"/>
        </w:rPr>
        <w:t xml:space="preserve">For more information, please visit </w:t>
      </w:r>
      <w:hyperlink r:id="rId10" w:history="1">
        <w:r>
          <w:rPr>
            <w:rStyle w:val="Hyperlink"/>
            <w:rFonts w:ascii="Georgia" w:eastAsia="Georgia" w:hAnsi="Georgia" w:cs="Georgia"/>
            <w:sz w:val="22"/>
            <w:szCs w:val="22"/>
          </w:rPr>
          <w:t>The Joint Commission website</w:t>
        </w:r>
      </w:hyperlink>
      <w:r>
        <w:rPr>
          <w:rFonts w:ascii="Georgia" w:eastAsia="Georgia" w:hAnsi="Georgia" w:cs="Georgia"/>
          <w:color w:val="000000" w:themeColor="text1"/>
          <w:sz w:val="22"/>
          <w:szCs w:val="22"/>
        </w:rPr>
        <w:t xml:space="preserve">. </w:t>
      </w:r>
    </w:p>
    <w:p w14:paraId="474747EE" w14:textId="77777777" w:rsidR="00470FCC" w:rsidRDefault="00470FCC" w:rsidP="00470FCC">
      <w:pPr>
        <w:spacing w:after="0" w:line="240" w:lineRule="auto"/>
        <w:rPr>
          <w:rFonts w:ascii="Georgia" w:eastAsia="Georgia" w:hAnsi="Georgia" w:cs="Georgia"/>
          <w:color w:val="000000" w:themeColor="text1"/>
          <w:sz w:val="22"/>
          <w:szCs w:val="22"/>
        </w:rPr>
      </w:pPr>
    </w:p>
    <w:p w14:paraId="149F4616" w14:textId="77777777" w:rsidR="00470FCC" w:rsidRDefault="00470FCC" w:rsidP="00470FCC">
      <w:pPr>
        <w:pStyle w:val="NoSpacing"/>
        <w:jc w:val="center"/>
        <w:rPr>
          <w:rFonts w:ascii="Georgia" w:eastAsia="Georgia" w:hAnsi="Georgia" w:cs="Georgia"/>
          <w:color w:val="000000" w:themeColor="text1"/>
          <w:sz w:val="22"/>
          <w:szCs w:val="22"/>
        </w:rPr>
      </w:pPr>
      <w:r>
        <w:rPr>
          <w:rFonts w:ascii="Georgia" w:eastAsia="Georgia" w:hAnsi="Georgia" w:cs="Georgia"/>
          <w:color w:val="000000" w:themeColor="text1"/>
          <w:sz w:val="22"/>
          <w:szCs w:val="22"/>
        </w:rPr>
        <w:t>###</w:t>
      </w:r>
    </w:p>
    <w:p w14:paraId="3D507E8D" w14:textId="77777777" w:rsidR="00470FCC" w:rsidRDefault="00470FCC" w:rsidP="00470FCC">
      <w:pPr>
        <w:pStyle w:val="NoSpacing"/>
        <w:rPr>
          <w:rFonts w:ascii="Georgia" w:eastAsia="Georgia" w:hAnsi="Georgia" w:cs="Georgia"/>
          <w:color w:val="000000" w:themeColor="text1"/>
          <w:sz w:val="18"/>
          <w:szCs w:val="18"/>
        </w:rPr>
      </w:pPr>
      <w:r>
        <w:rPr>
          <w:rFonts w:ascii="Georgia" w:eastAsia="Georgia" w:hAnsi="Georgia" w:cs="Georgia"/>
          <w:color w:val="000000" w:themeColor="text1"/>
          <w:sz w:val="18"/>
          <w:szCs w:val="18"/>
        </w:rPr>
        <w:t>(</w:t>
      </w:r>
      <w:r>
        <w:rPr>
          <w:rFonts w:ascii="Georgia" w:eastAsia="Georgia" w:hAnsi="Georgia" w:cs="Georgia"/>
          <w:color w:val="000000" w:themeColor="text1"/>
          <w:sz w:val="18"/>
          <w:szCs w:val="18"/>
          <w:highlight w:val="yellow"/>
        </w:rPr>
        <w:t>Insert organization boilerplate</w:t>
      </w:r>
      <w:r>
        <w:rPr>
          <w:rFonts w:ascii="Georgia" w:eastAsia="Georgia" w:hAnsi="Georgia" w:cs="Georgia"/>
          <w:color w:val="000000" w:themeColor="text1"/>
          <w:sz w:val="18"/>
          <w:szCs w:val="18"/>
        </w:rPr>
        <w:t>)</w:t>
      </w:r>
    </w:p>
    <w:p w14:paraId="5413C8C7" w14:textId="77777777" w:rsidR="00470FCC" w:rsidRDefault="00470FCC" w:rsidP="00470FCC"/>
    <w:p w14:paraId="1CE3EEDC" w14:textId="77777777" w:rsidR="00BC2196" w:rsidRDefault="00BC2196"/>
    <w:sectPr w:rsidR="00BC2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B2450"/>
    <w:multiLevelType w:val="hybridMultilevel"/>
    <w:tmpl w:val="7A2A2F66"/>
    <w:lvl w:ilvl="0" w:tplc="A9B4F4F0">
      <w:start w:val="1"/>
      <w:numFmt w:val="bullet"/>
      <w:lvlText w:val=""/>
      <w:lvlJc w:val="left"/>
      <w:pPr>
        <w:ind w:left="720" w:hanging="360"/>
      </w:pPr>
      <w:rPr>
        <w:rFonts w:ascii="Symbol" w:hAnsi="Symbol" w:hint="default"/>
      </w:rPr>
    </w:lvl>
    <w:lvl w:ilvl="1" w:tplc="47B080A8">
      <w:start w:val="1"/>
      <w:numFmt w:val="bullet"/>
      <w:lvlText w:val="o"/>
      <w:lvlJc w:val="left"/>
      <w:pPr>
        <w:ind w:left="1440" w:hanging="360"/>
      </w:pPr>
      <w:rPr>
        <w:rFonts w:ascii="Courier New" w:hAnsi="Courier New" w:cs="Times New Roman" w:hint="default"/>
      </w:rPr>
    </w:lvl>
    <w:lvl w:ilvl="2" w:tplc="51D24344">
      <w:start w:val="1"/>
      <w:numFmt w:val="bullet"/>
      <w:lvlText w:val=""/>
      <w:lvlJc w:val="left"/>
      <w:pPr>
        <w:ind w:left="2160" w:hanging="360"/>
      </w:pPr>
      <w:rPr>
        <w:rFonts w:ascii="Wingdings" w:hAnsi="Wingdings" w:hint="default"/>
      </w:rPr>
    </w:lvl>
    <w:lvl w:ilvl="3" w:tplc="05DAECC0">
      <w:start w:val="1"/>
      <w:numFmt w:val="bullet"/>
      <w:lvlText w:val=""/>
      <w:lvlJc w:val="left"/>
      <w:pPr>
        <w:ind w:left="2880" w:hanging="360"/>
      </w:pPr>
      <w:rPr>
        <w:rFonts w:ascii="Symbol" w:hAnsi="Symbol" w:hint="default"/>
      </w:rPr>
    </w:lvl>
    <w:lvl w:ilvl="4" w:tplc="07F24B24">
      <w:start w:val="1"/>
      <w:numFmt w:val="bullet"/>
      <w:lvlText w:val="o"/>
      <w:lvlJc w:val="left"/>
      <w:pPr>
        <w:ind w:left="3600" w:hanging="360"/>
      </w:pPr>
      <w:rPr>
        <w:rFonts w:ascii="Courier New" w:hAnsi="Courier New" w:cs="Times New Roman" w:hint="default"/>
      </w:rPr>
    </w:lvl>
    <w:lvl w:ilvl="5" w:tplc="1B1EC696">
      <w:start w:val="1"/>
      <w:numFmt w:val="bullet"/>
      <w:lvlText w:val=""/>
      <w:lvlJc w:val="left"/>
      <w:pPr>
        <w:ind w:left="4320" w:hanging="360"/>
      </w:pPr>
      <w:rPr>
        <w:rFonts w:ascii="Wingdings" w:hAnsi="Wingdings" w:hint="default"/>
      </w:rPr>
    </w:lvl>
    <w:lvl w:ilvl="6" w:tplc="12F6B752">
      <w:start w:val="1"/>
      <w:numFmt w:val="bullet"/>
      <w:lvlText w:val=""/>
      <w:lvlJc w:val="left"/>
      <w:pPr>
        <w:ind w:left="5040" w:hanging="360"/>
      </w:pPr>
      <w:rPr>
        <w:rFonts w:ascii="Symbol" w:hAnsi="Symbol" w:hint="default"/>
      </w:rPr>
    </w:lvl>
    <w:lvl w:ilvl="7" w:tplc="443C0628">
      <w:start w:val="1"/>
      <w:numFmt w:val="bullet"/>
      <w:lvlText w:val="o"/>
      <w:lvlJc w:val="left"/>
      <w:pPr>
        <w:ind w:left="5760" w:hanging="360"/>
      </w:pPr>
      <w:rPr>
        <w:rFonts w:ascii="Courier New" w:hAnsi="Courier New" w:cs="Times New Roman" w:hint="default"/>
      </w:rPr>
    </w:lvl>
    <w:lvl w:ilvl="8" w:tplc="9580E0C8">
      <w:start w:val="1"/>
      <w:numFmt w:val="bullet"/>
      <w:lvlText w:val=""/>
      <w:lvlJc w:val="left"/>
      <w:pPr>
        <w:ind w:left="6480" w:hanging="360"/>
      </w:pPr>
      <w:rPr>
        <w:rFonts w:ascii="Wingdings" w:hAnsi="Wingdings" w:hint="default"/>
      </w:rPr>
    </w:lvl>
  </w:abstractNum>
  <w:num w:numId="1" w16cid:durableId="106268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CC"/>
    <w:rsid w:val="00470FCC"/>
    <w:rsid w:val="008C2778"/>
    <w:rsid w:val="00A260DF"/>
    <w:rsid w:val="00AE3324"/>
    <w:rsid w:val="00BC2196"/>
    <w:rsid w:val="00CA6B89"/>
    <w:rsid w:val="00CF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FFE0"/>
  <w15:chartTrackingRefBased/>
  <w15:docId w15:val="{5F5CAC47-A020-49DA-A817-45AA0D5A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CC"/>
    <w:pPr>
      <w:spacing w:line="278" w:lineRule="auto"/>
    </w:pPr>
    <w:rPr>
      <w:rFonts w:eastAsiaTheme="minorEastAsia"/>
      <w:kern w:val="0"/>
      <w:sz w:val="24"/>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0FCC"/>
    <w:rPr>
      <w:color w:val="0563C1" w:themeColor="hyperlink"/>
      <w:u w:val="single"/>
    </w:rPr>
  </w:style>
  <w:style w:type="paragraph" w:styleId="NoSpacing">
    <w:name w:val="No Spacing"/>
    <w:uiPriority w:val="1"/>
    <w:qFormat/>
    <w:rsid w:val="00470FCC"/>
    <w:pPr>
      <w:spacing w:after="0" w:line="240" w:lineRule="auto"/>
    </w:pPr>
    <w:rPr>
      <w:rFonts w:eastAsiaTheme="minorEastAsia"/>
      <w:kern w:val="0"/>
      <w:sz w:val="24"/>
      <w:szCs w:val="24"/>
      <w:lang w:eastAsia="ja-JP"/>
      <w14:ligatures w14:val="none"/>
    </w:rPr>
  </w:style>
  <w:style w:type="paragraph" w:customStyle="1" w:styleId="Body">
    <w:name w:val="Body"/>
    <w:basedOn w:val="Normal"/>
    <w:uiPriority w:val="1"/>
    <w:rsid w:val="00470FCC"/>
    <w:pPr>
      <w:spacing w:after="0"/>
    </w:pPr>
    <w:rPr>
      <w:rFonts w:ascii="Arial" w:eastAsia="Arial Unicode MS" w:hAnsi="Arial" w:cs="Arial Unicode M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jointcommission.org/" TargetMode="External"/><Relationship Id="rId4" Type="http://schemas.openxmlformats.org/officeDocument/2006/relationships/numbering" Target="numbering.xml"/><Relationship Id="rId9" Type="http://schemas.openxmlformats.org/officeDocument/2006/relationships/hyperlink" Target="https://www.jointcommission.org/en-us/knowledge-library/vulnerable-populations/certification-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44f6d5-d121-46bc-8650-9d220d3dd3e8" xsi:nil="true"/>
    <lcf76f155ced4ddcb4097134ff3c332f xmlns="0463c16c-4225-4c82-87dc-f8c1f891c2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8" ma:contentTypeDescription="Create a new document." ma:contentTypeScope="" ma:versionID="59e39305aafcf160234fff54b19953df">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f1f9cc360434ea1a24e37b175d25d24"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EE6B0-038C-43CF-BA6B-39B121541C7C}">
  <ds:schemaRefs>
    <ds:schemaRef ds:uri="http://schemas.microsoft.com/office/2006/metadata/properties"/>
    <ds:schemaRef ds:uri="http://schemas.microsoft.com/office/infopath/2007/PartnerControls"/>
    <ds:schemaRef ds:uri="8344f6d5-d121-46bc-8650-9d220d3dd3e8"/>
    <ds:schemaRef ds:uri="0463c16c-4225-4c82-87dc-f8c1f891c26d"/>
  </ds:schemaRefs>
</ds:datastoreItem>
</file>

<file path=customXml/itemProps2.xml><?xml version="1.0" encoding="utf-8"?>
<ds:datastoreItem xmlns:ds="http://schemas.openxmlformats.org/officeDocument/2006/customXml" ds:itemID="{5AA0B099-989C-4D95-BC24-65F8A742D88F}">
  <ds:schemaRefs>
    <ds:schemaRef ds:uri="http://schemas.microsoft.com/sharepoint/v3/contenttype/forms"/>
  </ds:schemaRefs>
</ds:datastoreItem>
</file>

<file path=customXml/itemProps3.xml><?xml version="1.0" encoding="utf-8"?>
<ds:datastoreItem xmlns:ds="http://schemas.openxmlformats.org/officeDocument/2006/customXml" ds:itemID="{AA472995-AE76-4C71-A4A3-5A6A96947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2024</Characters>
  <Application>Microsoft Office Word</Application>
  <DocSecurity>0</DocSecurity>
  <Lines>53</Lines>
  <Paragraphs>23</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Erin</dc:creator>
  <cp:keywords/>
  <dc:description/>
  <cp:lastModifiedBy>Bauer, Jordan</cp:lastModifiedBy>
  <cp:revision>4</cp:revision>
  <dcterms:created xsi:type="dcterms:W3CDTF">2024-06-04T19:54:00Z</dcterms:created>
  <dcterms:modified xsi:type="dcterms:W3CDTF">2026-02-20T22:40:00Z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0x010100C173B926CE855A4B85B38CF25D966708</vt:lpwstr>
  </property>
</Properties>
</file>